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2" w:rsidRPr="00364E37" w:rsidRDefault="00364E37" w:rsidP="00364E37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364E37">
        <w:rPr>
          <w:rFonts w:ascii="Times New Roman" w:hAnsi="Times New Roman" w:cs="Times New Roman"/>
          <w:b/>
          <w:sz w:val="24"/>
          <w:szCs w:val="24"/>
        </w:rPr>
        <w:t>Případová studie č. 2</w:t>
      </w:r>
    </w:p>
    <w:p w:rsidR="00364E37" w:rsidRDefault="00364E37" w:rsidP="00364E37">
      <w:pPr>
        <w:ind w:left="0"/>
        <w:rPr>
          <w:rFonts w:ascii="Times New Roman" w:hAnsi="Times New Roman" w:cs="Times New Roman"/>
          <w:sz w:val="24"/>
          <w:szCs w:val="24"/>
        </w:rPr>
      </w:pPr>
      <w:r w:rsidRPr="00364E37">
        <w:rPr>
          <w:rFonts w:ascii="Times New Roman" w:hAnsi="Times New Roman" w:cs="Times New Roman"/>
          <w:b/>
          <w:sz w:val="24"/>
          <w:szCs w:val="24"/>
        </w:rPr>
        <w:t>Úkol</w:t>
      </w:r>
      <w:r w:rsidR="004777A6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 w:rsidRPr="00364E37">
        <w:rPr>
          <w:rFonts w:ascii="Times New Roman" w:hAnsi="Times New Roman" w:cs="Times New Roman"/>
          <w:b/>
          <w:sz w:val="24"/>
          <w:szCs w:val="24"/>
        </w:rPr>
        <w:t>:</w:t>
      </w:r>
      <w:r w:rsidRPr="00364E37">
        <w:rPr>
          <w:rFonts w:ascii="Times New Roman" w:hAnsi="Times New Roman" w:cs="Times New Roman"/>
          <w:sz w:val="24"/>
          <w:szCs w:val="24"/>
        </w:rPr>
        <w:t xml:space="preserve"> prostudujte níže uvedenou účetní závěrku a definujte rozdíly oproti výkazům sestaveným dle pr</w:t>
      </w:r>
      <w:r w:rsidR="004777A6">
        <w:rPr>
          <w:rFonts w:ascii="Times New Roman" w:hAnsi="Times New Roman" w:cs="Times New Roman"/>
          <w:sz w:val="24"/>
          <w:szCs w:val="24"/>
        </w:rPr>
        <w:t>ávních předpisů České republiky.</w:t>
      </w:r>
    </w:p>
    <w:p w:rsidR="004777A6" w:rsidRDefault="004777A6" w:rsidP="00364E37">
      <w:pPr>
        <w:ind w:left="0"/>
        <w:rPr>
          <w:rFonts w:ascii="Times New Roman" w:hAnsi="Times New Roman" w:cs="Times New Roman"/>
          <w:sz w:val="24"/>
          <w:szCs w:val="24"/>
        </w:rPr>
      </w:pPr>
      <w:r w:rsidRPr="004777A6">
        <w:rPr>
          <w:rFonts w:ascii="Times New Roman" w:hAnsi="Times New Roman" w:cs="Times New Roman"/>
          <w:b/>
          <w:sz w:val="24"/>
          <w:szCs w:val="24"/>
        </w:rPr>
        <w:t>Úkol č. 2:</w:t>
      </w:r>
      <w:r>
        <w:rPr>
          <w:rFonts w:ascii="Times New Roman" w:hAnsi="Times New Roman" w:cs="Times New Roman"/>
          <w:sz w:val="24"/>
          <w:szCs w:val="24"/>
        </w:rPr>
        <w:t xml:space="preserve"> prostudujte výkazy sestavené dle IAS/IFRS (zdroj: internet) několika společností a definujte, zda je výkaz zisku a ztráty sestavován častěji v druhém či účelovém členění nákladů. </w:t>
      </w:r>
    </w:p>
    <w:p w:rsidR="004777A6" w:rsidRDefault="004777A6" w:rsidP="00364E3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účelového členění nákladů zkontrolujte, zda je v příloze uvedeno také druhové členění nákladů. </w:t>
      </w:r>
    </w:p>
    <w:p w:rsidR="004777A6" w:rsidRPr="00364E37" w:rsidRDefault="004777A6" w:rsidP="00364E3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Konsolidovaná účetní závěrka za rok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končící 31. prosince 2011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9D9D9D"/>
          <w:sz w:val="24"/>
          <w:szCs w:val="24"/>
        </w:rPr>
        <w:t>Konsolidovaný výkaz zisku a ztráty za rok končící 31. prosince 2011 (v mil. Kč)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Tržby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562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219 454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Náklady na prodané výrobky, zboží a služby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215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956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190 234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Hrubý zisk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606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29 220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Odbytové náklady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549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14 509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Správní náklady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123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5 256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Ostatní provozní výnosy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040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7 856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Ostatní provozní náklady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717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5 995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Provozní výsledek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11 316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Finanční výnosy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757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1 112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Finanční náklady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966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1 494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výsledek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791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382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Podíl na zisku (+) / ztrátě (-) přidružených společností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227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– 348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Zisk před zdaněním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275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10 586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Daň z příjmů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1 747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Zisk po zdanění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8 839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Připadající </w:t>
      </w:r>
      <w:proofErr w:type="gramStart"/>
      <w:r w:rsidRPr="00364E37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364E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>Akcionář</w:t>
      </w:r>
      <w:r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polečnosti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035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8 781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Podíly bez kontrolního vlivu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58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5664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839</w:t>
      </w:r>
    </w:p>
    <w:p w:rsidR="00C10281" w:rsidRDefault="00C10281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9D9D9D"/>
          <w:sz w:val="24"/>
          <w:szCs w:val="24"/>
        </w:rPr>
        <w:t>Konsolidovaný výkaz úplného výsledku za rok končící 31. prosince 2011 (v mil. Kč)</w:t>
      </w:r>
    </w:p>
    <w:p w:rsidR="00364E37" w:rsidRPr="00364E37" w:rsidRDefault="00364E37" w:rsidP="00C10281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2011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2010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Zisk po zdanění za období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075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8 839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Zajištění peněžních toků: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Celková změna reálné hodnoty za období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– 4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540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– 813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>Celkové převody reálné hodnoty do výkazu zisku a ztráty -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efektivní část zajištění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546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188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>Celkové převody reálné hodnoty do výkazu zisku a ztráty -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neefektivní část zajištění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– 61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Odložená daň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155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141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Kurzové rozdíly </w:t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54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A676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40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Ostatní úplný výsledek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4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869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585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Úplný výsledek za období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206 </w:t>
      </w:r>
      <w:r w:rsid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8 254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Úplný výsledek připadající </w:t>
      </w:r>
      <w:proofErr w:type="gramStart"/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 w:rsidRPr="00364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E37" w:rsidRP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Akcionáře Společnosti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179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8 197</w:t>
      </w:r>
    </w:p>
    <w:p w:rsidR="00364E37" w:rsidRDefault="00364E37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Podíly bez kontrolního vlivu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1028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4E37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C10281" w:rsidRDefault="00C10281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10281" w:rsidRDefault="00C10281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10281" w:rsidRDefault="00C10281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10281" w:rsidRDefault="00C10281" w:rsidP="00364E37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9D9D9D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9D9D9D"/>
          <w:sz w:val="24"/>
          <w:szCs w:val="24"/>
        </w:rPr>
        <w:t>Konsolidovaná rozvaha k 31. prosinci 2011 (v mil. Kč)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31. 12. 2011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31. 12. 2010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Aktiva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Nehmotný majetek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654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12 969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Pozemky, budovy a zařízení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265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42 359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Podíly v přidružených společnostech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940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662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Ostatní pohledávky a finanční aktiva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159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1 547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Odložená daňová pohledávka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668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1 327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Dlouhodobá aktiva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686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58 864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Zásoby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061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14 408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Pohledávky z obchodních vztahů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423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11 028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Pohledávky ze splatných daní z příjmů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Ostatní pohledávky a finanční aktiva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076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15 361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Peníze a peněžní ekvivalenty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251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35 986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Krátkodobá aktiva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871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76 872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Aktiva celkem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736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4248" w:firstLine="708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31. 12. 2011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31. 12. 2010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Pasiva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Základní kapitál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709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16 709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Emisní ážio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578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1 578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Fondy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784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56 307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Vlastní kapitál připadající na akcionář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s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polečnosti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74 594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Podíly bez kontrolního vlivu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140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178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Vlastní kapitál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74 772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Dlouhodobé finanční závazky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3 000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Ostatní dlouhodobé závazky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317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3 380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Dlouhodobé rezervy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030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9 100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Dlouhodobé závazky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347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15 480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Krátkodobé finanční závazky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141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228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Závazky z obchodních vztahů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27 897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Ostatní krátkodobé závazky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258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4 766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Závazky ze splatných daní z příjmů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217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1 405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Krátkodobé rezervy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 xml:space="preserve">278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color w:val="000000"/>
          <w:sz w:val="24"/>
          <w:szCs w:val="24"/>
        </w:rPr>
        <w:t>11 188</w:t>
      </w:r>
    </w:p>
    <w:p w:rsidR="00C10281" w:rsidRP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Krátkodobé závazky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999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45 484</w:t>
      </w:r>
    </w:p>
    <w:p w:rsid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Pasiva celkem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557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</w:t>
      </w:r>
      <w:r w:rsidR="00773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736</w:t>
      </w:r>
    </w:p>
    <w:p w:rsidR="00C10281" w:rsidRDefault="00C10281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73FFB" w:rsidRDefault="00773FFB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Zdroj</w:t>
      </w:r>
      <w:r w:rsidRPr="00773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773FFB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http://new.skoda-auto.com/kariera/SiteCollectionDocuments/vyrocni%20zpravy/skoda-auto-annual-report-2011.pdf</w:t>
        </w:r>
      </w:hyperlink>
      <w:r w:rsidRPr="00773F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[2012-11-04]</w:t>
      </w:r>
    </w:p>
    <w:p w:rsidR="00773FFB" w:rsidRDefault="00773FFB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FFB" w:rsidRPr="00DA6764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Řešení</w:t>
      </w:r>
      <w:r w:rsidR="00773FFB" w:rsidRPr="00DA6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A6764" w:rsidRPr="00DA6764" w:rsidRDefault="00DA6764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764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Úkol č. 1:</w:t>
      </w:r>
    </w:p>
    <w:p w:rsidR="00DA6764" w:rsidRDefault="00DA6764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6764" w:rsidRDefault="00DA6764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Obecně: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dle IAS/IFRS neexistuje jednotný předepsaný formát výkazů, výkazy jsou sestavovány dle jednotlivých standardů, na základě principu významnosti.</w:t>
      </w:r>
    </w:p>
    <w:p w:rsidR="00DA6764" w:rsidRPr="00DA6764" w:rsidRDefault="00DA6764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Konkrétně v uvedeném příkladu:</w:t>
      </w:r>
    </w:p>
    <w:p w:rsidR="00D9799C" w:rsidRPr="00D9799C" w:rsidRDefault="00D9799C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99C">
        <w:rPr>
          <w:rFonts w:ascii="Times New Roman" w:eastAsia="Calibri" w:hAnsi="Times New Roman" w:cs="Times New Roman"/>
          <w:sz w:val="24"/>
          <w:szCs w:val="24"/>
        </w:rPr>
        <w:t>Výkaz o úplném výsledku z</w:t>
      </w:r>
      <w:r>
        <w:rPr>
          <w:rFonts w:ascii="Times New Roman" w:hAnsi="Times New Roman" w:cs="Times New Roman"/>
          <w:sz w:val="24"/>
          <w:szCs w:val="24"/>
        </w:rPr>
        <w:t>a účetní období - lze</w:t>
      </w:r>
      <w:r w:rsidRPr="00D9799C">
        <w:rPr>
          <w:rFonts w:ascii="Times New Roman" w:eastAsia="Calibri" w:hAnsi="Times New Roman" w:cs="Times New Roman"/>
          <w:sz w:val="24"/>
          <w:szCs w:val="24"/>
        </w:rPr>
        <w:t xml:space="preserve"> vyhotovit buď v plné verzi výkazu – v tom případě se jedná vlastně o původní verzi výkazu zisku a ztráty (požadovanou před novelou IAS 1) doplněnou o informaci o tzv. </w:t>
      </w:r>
      <w:r w:rsidRPr="00D9799C">
        <w:rPr>
          <w:rFonts w:ascii="Times New Roman" w:eastAsia="Calibri" w:hAnsi="Times New Roman" w:cs="Times New Roman"/>
          <w:b/>
          <w:sz w:val="24"/>
          <w:szCs w:val="24"/>
        </w:rPr>
        <w:t>Ostatním úplném výsledku (</w:t>
      </w:r>
      <w:r w:rsidRPr="00D9799C">
        <w:rPr>
          <w:rFonts w:ascii="Times New Roman" w:eastAsia="Calibri" w:hAnsi="Times New Roman" w:cs="Times New Roman"/>
          <w:b/>
          <w:sz w:val="24"/>
          <w:szCs w:val="24"/>
          <w:lang w:val="en-GB"/>
        </w:rPr>
        <w:t>Other Comprehensive Income</w:t>
      </w:r>
      <w:r w:rsidRPr="00D9799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9799C">
        <w:rPr>
          <w:rFonts w:ascii="Times New Roman" w:eastAsia="Calibri" w:hAnsi="Times New Roman" w:cs="Times New Roman"/>
          <w:sz w:val="24"/>
          <w:szCs w:val="24"/>
        </w:rPr>
        <w:t>.  Účetní jednotka však může zveřejňovat také dva dokumenty, přičemž jedním je původní výsledovka (</w:t>
      </w:r>
      <w:r w:rsidRPr="00D9799C">
        <w:rPr>
          <w:rFonts w:ascii="Times New Roman" w:eastAsia="Calibri" w:hAnsi="Times New Roman" w:cs="Times New Roman"/>
          <w:sz w:val="24"/>
          <w:szCs w:val="24"/>
          <w:lang w:val="en-GB"/>
        </w:rPr>
        <w:t>Income Statement</w:t>
      </w:r>
      <w:r w:rsidRPr="00D9799C">
        <w:rPr>
          <w:rFonts w:ascii="Times New Roman" w:eastAsia="Calibri" w:hAnsi="Times New Roman" w:cs="Times New Roman"/>
          <w:sz w:val="24"/>
          <w:szCs w:val="24"/>
        </w:rPr>
        <w:t>) a druhým dokumentem je samostatný Výkaz o úplném výsledku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799C" w:rsidRPr="00D9799C" w:rsidRDefault="00D9799C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úplný výsledek je v IAS/IFRS složen z více položek,</w:t>
      </w:r>
    </w:p>
    <w:p w:rsidR="00D9799C" w:rsidRPr="00D9799C" w:rsidRDefault="00D9799C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D9799C">
        <w:rPr>
          <w:rFonts w:ascii="Times New Roman" w:hAnsi="Times New Roman" w:cs="Times New Roman"/>
          <w:color w:val="000000" w:themeColor="text1"/>
          <w:sz w:val="24"/>
          <w:szCs w:val="24"/>
        </w:rPr>
        <w:t>le IAS/IFRS chybí mimořádná oblast výsledovky,</w:t>
      </w:r>
    </w:p>
    <w:p w:rsidR="00D9799C" w:rsidRDefault="00DA6764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zisk před zdaněním a úplný výsledek je rozdělen na část připadající na většinové akcionáře a část na podíly bez kontrolního vlivu,</w:t>
      </w:r>
    </w:p>
    <w:p w:rsidR="00DA6764" w:rsidRDefault="00DA6764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možnost slučování položek výkazů: např. v rozvaze z dlouhodobého majetku uvedena pouze položka: Pozemky, budovy a zařízení, sloučena je také položka: Ostatní pohledávky a finanční aktiva,</w:t>
      </w:r>
    </w:p>
    <w:p w:rsidR="00DA6764" w:rsidRDefault="00DA6764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rezervy jsou členěny na krátkodobou a dlouhodobou část,</w:t>
      </w:r>
    </w:p>
    <w:p w:rsidR="00DA6764" w:rsidRPr="00D9799C" w:rsidRDefault="00DA6764" w:rsidP="00D9799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je vykazován podíl vlastního kapitálu na akcionáře.</w:t>
      </w:r>
    </w:p>
    <w:p w:rsidR="004777A6" w:rsidRPr="00D9799C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7A6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113" w:rsidRPr="00B54113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Úkol č. 2: </w:t>
      </w:r>
    </w:p>
    <w:p w:rsidR="004777A6" w:rsidRDefault="004777A6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častěji je sestavován výkaz </w:t>
      </w:r>
      <w:r w:rsidR="00B54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zisku a ztráty v účelovém členění nákladů. Členění provozních nákladů dle druhů je uvedeno v příloze jen u společností působících na území ČR (příkladem může být společnost Škoda Auto), neboť je tato povinnost obsažena v českých právních normách. </w:t>
      </w:r>
    </w:p>
    <w:p w:rsidR="00773FFB" w:rsidRDefault="00773FFB" w:rsidP="00B54113">
      <w:pPr>
        <w:autoSpaceDE w:val="0"/>
        <w:autoSpaceDN w:val="0"/>
        <w:adjustRightInd w:val="0"/>
        <w:spacing w:before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7A6" w:rsidRPr="00773FFB" w:rsidRDefault="004777A6" w:rsidP="00C10281">
      <w:pPr>
        <w:autoSpaceDE w:val="0"/>
        <w:autoSpaceDN w:val="0"/>
        <w:adjustRightInd w:val="0"/>
        <w:spacing w:before="0" w:line="240" w:lineRule="auto"/>
        <w:ind w:left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77A6" w:rsidRPr="00773FFB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AEA"/>
    <w:multiLevelType w:val="hybridMultilevel"/>
    <w:tmpl w:val="94782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E37"/>
    <w:rsid w:val="00364E37"/>
    <w:rsid w:val="003E7878"/>
    <w:rsid w:val="00464CEF"/>
    <w:rsid w:val="004777A6"/>
    <w:rsid w:val="005433EB"/>
    <w:rsid w:val="006A1722"/>
    <w:rsid w:val="00773FFB"/>
    <w:rsid w:val="00B54113"/>
    <w:rsid w:val="00B658B5"/>
    <w:rsid w:val="00C10281"/>
    <w:rsid w:val="00D9799C"/>
    <w:rsid w:val="00DA6764"/>
    <w:rsid w:val="00F03932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3F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799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skoda-auto.com/kariera/SiteCollectionDocuments/vyrocni%20zpravy/skoda-auto-annual-report-20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3</cp:revision>
  <dcterms:created xsi:type="dcterms:W3CDTF">2012-12-04T10:44:00Z</dcterms:created>
  <dcterms:modified xsi:type="dcterms:W3CDTF">2012-12-04T12:09:00Z</dcterms:modified>
</cp:coreProperties>
</file>